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720"/>
        <w:jc w:val="center"/>
        <w:rPr>
          <w:rFonts w:ascii="Calibri" w:hAnsi="Calibri" w:cs="Calibri" w:eastAsia="Calibri"/>
          <w:b/>
          <w:color w:val="auto"/>
          <w:spacing w:val="0"/>
          <w:position w:val="0"/>
          <w:sz w:val="24"/>
          <w:shd w:fill="auto" w:val="clear"/>
        </w:rPr>
      </w:pPr>
    </w:p>
    <w:p>
      <w:pPr>
        <w:spacing w:before="0" w:after="160" w:line="480"/>
        <w:ind w:right="0" w:left="0" w:firstLine="720"/>
        <w:jc w:val="center"/>
        <w:rPr>
          <w:rFonts w:ascii="Calibri" w:hAnsi="Calibri" w:cs="Calibri" w:eastAsia="Calibri"/>
          <w:b/>
          <w:color w:val="auto"/>
          <w:spacing w:val="0"/>
          <w:position w:val="0"/>
          <w:sz w:val="24"/>
          <w:shd w:fill="auto" w:val="clear"/>
        </w:rPr>
      </w:pPr>
    </w:p>
    <w:p>
      <w:pPr>
        <w:spacing w:before="0" w:after="160" w:line="480"/>
        <w:ind w:right="0" w:left="0" w:firstLine="720"/>
        <w:jc w:val="center"/>
        <w:rPr>
          <w:rFonts w:ascii="Calibri" w:hAnsi="Calibri" w:cs="Calibri" w:eastAsia="Calibri"/>
          <w:b/>
          <w:color w:val="auto"/>
          <w:spacing w:val="0"/>
          <w:position w:val="0"/>
          <w:sz w:val="24"/>
          <w:shd w:fill="auto" w:val="clear"/>
        </w:rPr>
      </w:pPr>
    </w:p>
    <w:p>
      <w:pPr>
        <w:spacing w:before="0" w:after="160" w:line="480"/>
        <w:ind w:right="0" w:left="0" w:firstLine="720"/>
        <w:jc w:val="center"/>
        <w:rPr>
          <w:rFonts w:ascii="Calibri" w:hAnsi="Calibri" w:cs="Calibri" w:eastAsia="Calibri"/>
          <w:color w:val="auto"/>
          <w:spacing w:val="0"/>
          <w:position w:val="0"/>
          <w:sz w:val="22"/>
          <w:shd w:fill="auto" w:val="clear"/>
        </w:rPr>
      </w:pPr>
    </w:p>
    <w:p>
      <w:pPr>
        <w:spacing w:before="0" w:after="160" w:line="480"/>
        <w:ind w:right="0" w:left="0" w:firstLine="720"/>
        <w:jc w:val="center"/>
        <w:rPr>
          <w:rFonts w:ascii="Calibri" w:hAnsi="Calibri" w:cs="Calibri" w:eastAsia="Calibri"/>
          <w:color w:val="auto"/>
          <w:spacing w:val="0"/>
          <w:position w:val="0"/>
          <w:sz w:val="22"/>
          <w:shd w:fill="auto" w:val="clear"/>
        </w:rPr>
      </w:pPr>
    </w:p>
    <w:p>
      <w:pPr>
        <w:spacing w:before="0" w:after="160" w:line="480"/>
        <w:ind w:right="0" w:left="0" w:firstLine="72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Student’s Name</w:t>
      </w:r>
    </w:p>
    <w:p>
      <w:pPr>
        <w:spacing w:before="0" w:after="160" w:line="480"/>
        <w:ind w:right="0" w:left="0" w:firstLine="72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Institution’s Name</w:t>
      </w:r>
    </w:p>
    <w:p>
      <w:pPr>
        <w:spacing w:before="0" w:after="160" w:line="480"/>
        <w:ind w:right="0" w:left="0" w:firstLine="72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Course Code</w:t>
      </w:r>
    </w:p>
    <w:p>
      <w:pPr>
        <w:spacing w:before="0" w:after="160" w:line="480"/>
        <w:ind w:right="0" w:left="0" w:firstLine="72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Professor’s Name</w:t>
      </w:r>
    </w:p>
    <w:p>
      <w:pPr>
        <w:spacing w:before="0" w:after="160" w:line="48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Coca-Cola Company</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today’s world has made many people creative and innovative. Great ideas and projects have come up and have grown. Companies have been established and have proved to be among the best in the world by having the largest total revenue in the fiscal years. Coca-Cola is among the fortune 500 companies which was actually founded by Asa Griggs Candler in 1892 (Lussier, 1995). The company has great interest in the manufacturing, retail and marketing of beverages which are nonalcoholic. The headquarters are in Atlanta, Georgia in the United States. In deed it is by great sacrifice and specific measures that Coca-Cola company has emerged as one of the top companies in the world.</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changing needs of the customers have greatly influenced the organizational structure of the company. The management is decentralized, with two operating groups which are the bottling corporate and the bottling investment (Headd, 2003). Each group has specific tasks that lead to the achievement of the company’s goals and objectives. They are also answerable in case of any delays or mismanagements in their individual groups. The company primarily engages in the manufacture and the sale of syrup and concentrate, a sweetened carbonated beverage (Neely &amp; Kennerley, 2002). It is in the culture of the United States to take the drink and it also gives an American taste to the rest of the world. </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Coca-Cola has numerous products which include but not limited to Fanta, Sprite, Dasani, Diet Coke, vitamin water, Minute Maid, Del Valle, Georgia, Coca-Cola Zero, Gold peak among others. The distribution system has ensured that these products have reached each and every part of the world. In fact, one of the company’s objective is to ensure everyone in the world has tasted one of the products manufactured in the company (Headd, 2003). They are definitely not far from achieving this objective. Amazingly, Coca-Cola is the leading provider of both still and sparkling beverages.</w:t>
      </w: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organization’s external environment can greatly affect the success of the company (Prieto &amp; Revilla, 2006). The major external factor that has led to the success of the Coca-Cola company is the changes in laws and regulations. These include taxation requirements such as change in tax rate, modification in the laws or introduction of new laws of taxation and also changes in the accounting standards. Most of the countries are discouraging use of hard drinks and actually imposing high taxes on them (Orlitzky, 2011). This is a plus to the Coca-Cola as the tax rates for its products will be lower and hence most consumers will choose the company’s soft drinks. Lower tax rates lead to higher profits.</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other factor is the environmental laws in the United States and foreign countries. Such laws hinder companies whose products may cause some harmful effects to the environment. Coca-Cola company has its products very environmental friendly and has developed mechanisms to improve on the same. The bottling of the beverages has greatly been looked upon and implemented measures such as reusing or recycling the bottles. This will ensure that the products cause no harm to the environment (Headd, 2003). This will lead to the company been allowed to distribute its products to all the countries in the world thus a wider market, hence more sales and profit. </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success of a business is greatly influenced by its financial performance (Neely &amp; Kennerley, 2003). Measures must therefore be put in place to ensure that the organization yields maximum profits. Coca-Cola company has a revenue of $37266 million with a 17% revenue percentage change (Orlitzky, 2011). The profits stand at $8920 million with a 38.6% profit change. This is a business success and has been possible due to some factors. One of them is by expansion of the business into areas where there is little or no competition. Some countries have Coca-Cola as the only beverage producing company and hence all the people are consumers of its products.</w:t>
      </w: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second thing is by marketing. The company has used diverse ways to market its products with the main being the online platform. Creative and hilarious advertisements have been posted to promote the products. Most of the people have at least seen 70% of the advertisements as they are posted in all the online platforms (Lussier, 1995). Most of the viewers would like to try out the product or at least to see what makes most people choose it over others. This will lead to more people purchasing the products thus higher profits. </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Thirdly, the company can use the cross sell and upsell on existing customers. Selling to an existing customer is easier than looking for a new customer. It is therefore necessary to maximize on the existing customers (Prieto &amp; Revilla, 2006). This is by increasing efficiency through taking care of the existing customers. One may increase bundles of the products or make the buying process a lot easier and quicker. An example is through having an offer for customers who buy products more than a certain amount. </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forth way is adopting the eighty- twenty rule. There is a small group of customers which may be 20% but bring the most revenue. It is important to concentrate on these customers as they will bring better profits (Headd, 2003). It is also good to check on the customers who bring less revenue but take up most of your time. it is wise to let them go and use the same time to market the company’s products to others. In this way, more time and resources will be spent towards maximizing the profits and minimizing the losses. This will lead to an improvement in the company’s financial performance. </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last thing is by asking your customers to give positive reviews. Most of the customers trust the feedback given by others who had already bought the products. This is greatly evident in the online customers as well as those who may search for products online. Most of the customers may not be interested in the feedback given unless its negative. if there is no feedback, customers may also opt other products. Companies should hence incorporate this to have more customers hence more sales.</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company has its workers interact with the general public especially through the sale of the products. Some companies may have some shareholders who may like to invest in the company and earn from the revenue accrued. With Coca-Cola, the main controversial corporate social responsibility concern is the supplier relations. As the company is growing, stakeholders become increasingly interested in business affairs (Lussier, 1995). Some partners and workers engage in seeing the success of the business through avenues such as product promotion.</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 workers may not adhere to the codes of conduct and the policies of the company. This has great concern as some sort of manipulation has been witnessed in the sales industry. This is because less qualified workers are assigned the sales work which has little direct supervision. This may be a concern as such is slowly ruining the reputation. This can however be corrected through assigning more skilled sales personnel and having a follow up on daily sales.</w:t>
      </w:r>
    </w:p>
    <w:p>
      <w:pPr>
        <w:spacing w:before="0" w:after="160" w:line="480"/>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success of Coca-Cola company has been as a result of cooperation and commitment among the stakeholders. Individual responsibility with set goals to achieve has been of great impact. It takes great effort and sacrifice for a company to win customers and maximize on its profits. Such sacrifice is inevitable if one may dream of success. </w:t>
      </w: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References</w:t>
      </w:r>
    </w:p>
    <w:p>
      <w:pPr>
        <w:spacing w:before="0" w:after="160" w:line="480"/>
        <w:ind w:right="0" w:left="0" w:firstLine="0"/>
        <w:jc w:val="left"/>
        <w:rPr>
          <w:rFonts w:ascii="Calibri" w:hAnsi="Calibri" w:cs="Calibri" w:eastAsia="Calibri"/>
          <w:color w:val="auto"/>
          <w:spacing w:val="0"/>
          <w:position w:val="0"/>
          <w:sz w:val="22"/>
          <w:u w:val="single"/>
          <w:shd w:fill="auto" w:val="clear"/>
        </w:rPr>
      </w:pPr>
    </w:p>
    <w:p>
      <w:pPr>
        <w:spacing w:before="0" w:after="160" w:line="480"/>
        <w:ind w:right="0" w:left="0" w:firstLine="0"/>
        <w:jc w:val="left"/>
        <w:rPr>
          <w:rFonts w:ascii="Arial" w:hAnsi="Arial" w:cs="Arial" w:eastAsia="Arial"/>
          <w:color w:val="222222"/>
          <w:spacing w:val="0"/>
          <w:position w:val="0"/>
          <w:sz w:val="20"/>
          <w:shd w:fill="FFFFFF" w:val="clear"/>
        </w:rPr>
      </w:pPr>
      <w:r>
        <w:rPr>
          <w:rFonts w:ascii="Arial" w:hAnsi="Arial" w:cs="Arial" w:eastAsia="Arial"/>
          <w:color w:val="222222"/>
          <w:spacing w:val="0"/>
          <w:position w:val="0"/>
          <w:sz w:val="20"/>
          <w:shd w:fill="FFFFFF" w:val="clear"/>
        </w:rPr>
        <w:t xml:space="preserve">Headd, B. (2003). Redefining business success: Distinguishing between closure and failure. </w:t>
      </w:r>
      <w:r>
        <w:rPr>
          <w:rFonts w:ascii="Arial" w:hAnsi="Arial" w:cs="Arial" w:eastAsia="Arial"/>
          <w:i/>
          <w:color w:val="222222"/>
          <w:spacing w:val="0"/>
          <w:position w:val="0"/>
          <w:sz w:val="20"/>
          <w:shd w:fill="FFFFFF" w:val="clear"/>
        </w:rPr>
        <w:t xml:space="preserve">Small business economics</w:t>
      </w:r>
      <w:r>
        <w:rPr>
          <w:rFonts w:ascii="Arial" w:hAnsi="Arial" w:cs="Arial" w:eastAsia="Arial"/>
          <w:color w:val="222222"/>
          <w:spacing w:val="0"/>
          <w:position w:val="0"/>
          <w:sz w:val="20"/>
          <w:shd w:fill="FFFFFF" w:val="clear"/>
        </w:rPr>
        <w:t xml:space="preserve">, </w:t>
      </w:r>
      <w:r>
        <w:rPr>
          <w:rFonts w:ascii="Arial" w:hAnsi="Arial" w:cs="Arial" w:eastAsia="Arial"/>
          <w:i/>
          <w:color w:val="222222"/>
          <w:spacing w:val="0"/>
          <w:position w:val="0"/>
          <w:sz w:val="20"/>
          <w:shd w:fill="FFFFFF" w:val="clear"/>
        </w:rPr>
        <w:t xml:space="preserve">21</w:t>
      </w:r>
      <w:r>
        <w:rPr>
          <w:rFonts w:ascii="Arial" w:hAnsi="Arial" w:cs="Arial" w:eastAsia="Arial"/>
          <w:color w:val="222222"/>
          <w:spacing w:val="0"/>
          <w:position w:val="0"/>
          <w:sz w:val="20"/>
          <w:shd w:fill="FFFFFF" w:val="clear"/>
        </w:rPr>
        <w:t xml:space="preserve">(1), 51-61.</w:t>
      </w:r>
    </w:p>
    <w:p>
      <w:pPr>
        <w:spacing w:before="0" w:after="160" w:line="480"/>
        <w:ind w:right="0" w:left="720" w:hanging="720"/>
        <w:jc w:val="left"/>
        <w:rPr>
          <w:rFonts w:ascii="Arial" w:hAnsi="Arial" w:cs="Arial" w:eastAsia="Arial"/>
          <w:color w:val="222222"/>
          <w:spacing w:val="0"/>
          <w:position w:val="0"/>
          <w:sz w:val="20"/>
          <w:shd w:fill="FFFFFF" w:val="clear"/>
        </w:rPr>
      </w:pPr>
      <w:r>
        <w:rPr>
          <w:rFonts w:ascii="Arial" w:hAnsi="Arial" w:cs="Arial" w:eastAsia="Arial"/>
          <w:color w:val="222222"/>
          <w:spacing w:val="0"/>
          <w:position w:val="0"/>
          <w:sz w:val="20"/>
          <w:shd w:fill="FFFFFF" w:val="clear"/>
        </w:rPr>
        <w:t xml:space="preserve">Lussier, R. N. (1995). A nonfinancial business success versus failure prediction mo. </w:t>
      </w:r>
      <w:r>
        <w:rPr>
          <w:rFonts w:ascii="Arial" w:hAnsi="Arial" w:cs="Arial" w:eastAsia="Arial"/>
          <w:i/>
          <w:color w:val="222222"/>
          <w:spacing w:val="0"/>
          <w:position w:val="0"/>
          <w:sz w:val="20"/>
          <w:shd w:fill="FFFFFF" w:val="clear"/>
        </w:rPr>
        <w:t xml:space="preserve">Journal of Small Business Management</w:t>
      </w:r>
      <w:r>
        <w:rPr>
          <w:rFonts w:ascii="Arial" w:hAnsi="Arial" w:cs="Arial" w:eastAsia="Arial"/>
          <w:color w:val="222222"/>
          <w:spacing w:val="0"/>
          <w:position w:val="0"/>
          <w:sz w:val="20"/>
          <w:shd w:fill="FFFFFF" w:val="clear"/>
        </w:rPr>
        <w:t xml:space="preserve">, </w:t>
      </w:r>
      <w:r>
        <w:rPr>
          <w:rFonts w:ascii="Arial" w:hAnsi="Arial" w:cs="Arial" w:eastAsia="Arial"/>
          <w:i/>
          <w:color w:val="222222"/>
          <w:spacing w:val="0"/>
          <w:position w:val="0"/>
          <w:sz w:val="20"/>
          <w:shd w:fill="FFFFFF" w:val="clear"/>
        </w:rPr>
        <w:t xml:space="preserve">33</w:t>
      </w:r>
      <w:r>
        <w:rPr>
          <w:rFonts w:ascii="Arial" w:hAnsi="Arial" w:cs="Arial" w:eastAsia="Arial"/>
          <w:color w:val="222222"/>
          <w:spacing w:val="0"/>
          <w:position w:val="0"/>
          <w:sz w:val="20"/>
          <w:shd w:fill="FFFFFF" w:val="clear"/>
        </w:rPr>
        <w:t xml:space="preserve">(1), 8.</w:t>
      </w:r>
    </w:p>
    <w:p>
      <w:pPr>
        <w:spacing w:before="0" w:after="160" w:line="480"/>
        <w:ind w:right="0" w:left="720" w:hanging="720"/>
        <w:jc w:val="left"/>
        <w:rPr>
          <w:rFonts w:ascii="Arial" w:hAnsi="Arial" w:cs="Arial" w:eastAsia="Arial"/>
          <w:color w:val="222222"/>
          <w:spacing w:val="0"/>
          <w:position w:val="0"/>
          <w:sz w:val="20"/>
          <w:shd w:fill="FFFFFF" w:val="clear"/>
        </w:rPr>
      </w:pPr>
      <w:r>
        <w:rPr>
          <w:rFonts w:ascii="Arial" w:hAnsi="Arial" w:cs="Arial" w:eastAsia="Arial"/>
          <w:color w:val="222222"/>
          <w:spacing w:val="0"/>
          <w:position w:val="0"/>
          <w:sz w:val="20"/>
          <w:shd w:fill="FFFFFF" w:val="clear"/>
        </w:rPr>
        <w:t xml:space="preserve">Neely, A. D., Adams, C., &amp; Kennerley, M. (2002). </w:t>
      </w:r>
      <w:r>
        <w:rPr>
          <w:rFonts w:ascii="Arial" w:hAnsi="Arial" w:cs="Arial" w:eastAsia="Arial"/>
          <w:i/>
          <w:color w:val="222222"/>
          <w:spacing w:val="0"/>
          <w:position w:val="0"/>
          <w:sz w:val="20"/>
          <w:shd w:fill="FFFFFF" w:val="clear"/>
        </w:rPr>
        <w:t xml:space="preserve">The performance prism: The scorecard for measuring and managing business success</w:t>
      </w:r>
      <w:r>
        <w:rPr>
          <w:rFonts w:ascii="Arial" w:hAnsi="Arial" w:cs="Arial" w:eastAsia="Arial"/>
          <w:color w:val="222222"/>
          <w:spacing w:val="0"/>
          <w:position w:val="0"/>
          <w:sz w:val="20"/>
          <w:shd w:fill="FFFFFF" w:val="clear"/>
        </w:rPr>
        <w:t xml:space="preserve">. London: Prentice Hall Financial Times.</w:t>
      </w:r>
    </w:p>
    <w:p>
      <w:pPr>
        <w:spacing w:before="0" w:after="160" w:line="480"/>
        <w:ind w:right="0" w:left="720" w:hanging="720"/>
        <w:jc w:val="left"/>
        <w:rPr>
          <w:rFonts w:ascii="Arial" w:hAnsi="Arial" w:cs="Arial" w:eastAsia="Arial"/>
          <w:i/>
          <w:color w:val="222222"/>
          <w:spacing w:val="0"/>
          <w:position w:val="0"/>
          <w:sz w:val="20"/>
          <w:shd w:fill="FFFFFF" w:val="clear"/>
        </w:rPr>
      </w:pPr>
      <w:r>
        <w:rPr>
          <w:rFonts w:ascii="Arial" w:hAnsi="Arial" w:cs="Arial" w:eastAsia="Arial"/>
          <w:color w:val="222222"/>
          <w:spacing w:val="0"/>
          <w:position w:val="0"/>
          <w:sz w:val="20"/>
          <w:shd w:fill="FFFFFF" w:val="clear"/>
        </w:rPr>
        <w:t xml:space="preserve">Orlitzky, M. (2011). Institutional logics in the study of organizations: The social construction of the relationship between corporate social and financial performance. </w:t>
      </w:r>
      <w:r>
        <w:rPr>
          <w:rFonts w:ascii="Arial" w:hAnsi="Arial" w:cs="Arial" w:eastAsia="Arial"/>
          <w:i/>
          <w:color w:val="222222"/>
          <w:spacing w:val="0"/>
          <w:position w:val="0"/>
          <w:sz w:val="20"/>
          <w:shd w:fill="FFFFFF" w:val="clear"/>
        </w:rPr>
        <w:t xml:space="preserve">Business Ethics Quarterly</w:t>
      </w:r>
      <w:r>
        <w:rPr>
          <w:rFonts w:ascii="Arial" w:hAnsi="Arial" w:cs="Arial" w:eastAsia="Arial"/>
          <w:color w:val="222222"/>
          <w:spacing w:val="0"/>
          <w:position w:val="0"/>
          <w:sz w:val="20"/>
          <w:shd w:fill="FFFFFF" w:val="clear"/>
        </w:rPr>
        <w:t xml:space="preserve">, 409-444.</w:t>
      </w:r>
    </w:p>
    <w:p>
      <w:pPr>
        <w:spacing w:before="0" w:after="160" w:line="480"/>
        <w:ind w:right="0" w:left="720" w:hanging="720"/>
        <w:jc w:val="left"/>
        <w:rPr>
          <w:rFonts w:ascii="Arial" w:hAnsi="Arial" w:cs="Arial" w:eastAsia="Arial"/>
          <w:color w:val="222222"/>
          <w:spacing w:val="0"/>
          <w:position w:val="0"/>
          <w:sz w:val="20"/>
          <w:shd w:fill="FFFFFF" w:val="clear"/>
        </w:rPr>
      </w:pPr>
      <w:r>
        <w:rPr>
          <w:rFonts w:ascii="Arial" w:hAnsi="Arial" w:cs="Arial" w:eastAsia="Arial"/>
          <w:color w:val="222222"/>
          <w:spacing w:val="0"/>
          <w:position w:val="0"/>
          <w:sz w:val="20"/>
          <w:shd w:fill="FFFFFF" w:val="clear"/>
        </w:rPr>
        <w:t xml:space="preserve">Prieto, I. M., &amp; Revilla, E. (2006). Learning capability and business performance: a non</w:t>
      </w:r>
      <w:r>
        <w:rPr>
          <w:rFonts w:ascii="Cambria Math" w:hAnsi="Cambria Math" w:cs="Cambria Math" w:eastAsia="Cambria Math"/>
          <w:color w:val="222222"/>
          <w:spacing w:val="0"/>
          <w:position w:val="0"/>
          <w:sz w:val="20"/>
          <w:shd w:fill="FFFFFF" w:val="clear"/>
        </w:rPr>
        <w:t xml:space="preserve">‐</w:t>
      </w:r>
      <w:r>
        <w:rPr>
          <w:rFonts w:ascii="Arial" w:hAnsi="Arial" w:cs="Arial" w:eastAsia="Arial"/>
          <w:color w:val="222222"/>
          <w:spacing w:val="0"/>
          <w:position w:val="0"/>
          <w:sz w:val="20"/>
          <w:shd w:fill="FFFFFF" w:val="clear"/>
        </w:rPr>
        <w:t xml:space="preserve">financial and financial assessment.</w:t>
      </w:r>
      <w:r>
        <w:rPr>
          <w:rFonts w:ascii="Arial" w:hAnsi="Arial" w:cs="Arial" w:eastAsia="Arial"/>
          <w:color w:val="222222"/>
          <w:spacing w:val="0"/>
          <w:position w:val="0"/>
          <w:sz w:val="20"/>
          <w:shd w:fill="FFFFFF" w:val="clear"/>
        </w:rPr>
        <w:t xml:space="preserve"> </w:t>
      </w:r>
      <w:r>
        <w:rPr>
          <w:rFonts w:ascii="Arial" w:hAnsi="Arial" w:cs="Arial" w:eastAsia="Arial"/>
          <w:i/>
          <w:color w:val="222222"/>
          <w:spacing w:val="0"/>
          <w:position w:val="0"/>
          <w:sz w:val="20"/>
          <w:shd w:fill="FFFFFF" w:val="clear"/>
        </w:rPr>
        <w:t xml:space="preserve">The learning organization</w:t>
      </w:r>
      <w:r>
        <w:rPr>
          <w:rFonts w:ascii="Arial" w:hAnsi="Arial" w:cs="Arial" w:eastAsia="Arial"/>
          <w:color w:val="222222"/>
          <w:spacing w:val="0"/>
          <w:position w:val="0"/>
          <w:sz w:val="20"/>
          <w:shd w:fill="FFFFFF" w:val="clear"/>
        </w:rPr>
        <w:t xml:space="preserve">.</w:t>
      </w:r>
    </w:p>
    <w:p>
      <w:pPr>
        <w:spacing w:before="0" w:after="160" w:line="480"/>
        <w:ind w:right="0" w:left="0" w:firstLine="0"/>
        <w:jc w:val="left"/>
        <w:rPr>
          <w:rFonts w:ascii="Calibri" w:hAnsi="Calibri" w:cs="Calibri" w:eastAsia="Calibri"/>
          <w:color w:val="auto"/>
          <w:spacing w:val="0"/>
          <w:position w:val="0"/>
          <w:sz w:val="22"/>
          <w:u w:val="single"/>
          <w:shd w:fill="auto" w:val="clear"/>
        </w:rPr>
      </w:pPr>
    </w:p>
    <w:p>
      <w:pPr>
        <w:spacing w:before="0" w:after="160" w:line="480"/>
        <w:ind w:right="0" w:left="0" w:firstLine="0"/>
        <w:jc w:val="left"/>
        <w:rPr>
          <w:rFonts w:ascii="Calibri" w:hAnsi="Calibri" w:cs="Calibri" w:eastAsia="Calibri"/>
          <w:color w:val="auto"/>
          <w:spacing w:val="0"/>
          <w:position w:val="0"/>
          <w:sz w:val="22"/>
          <w:u w:val="single"/>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